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D856" w14:textId="336D294C" w:rsidR="001420B1" w:rsidRPr="0047500D" w:rsidRDefault="001420B1" w:rsidP="0047500D">
      <w:r>
        <w:rPr>
          <w:noProof/>
        </w:rPr>
        <w:drawing>
          <wp:anchor distT="0" distB="0" distL="114300" distR="114300" simplePos="0" relativeHeight="251658240" behindDoc="1" locked="0" layoutInCell="1" allowOverlap="1" wp14:anchorId="4BB7CF8D" wp14:editId="31BF041B">
            <wp:simplePos x="0" y="0"/>
            <wp:positionH relativeFrom="column">
              <wp:posOffset>1085133</wp:posOffset>
            </wp:positionH>
            <wp:positionV relativeFrom="paragraph">
              <wp:posOffset>3810</wp:posOffset>
            </wp:positionV>
            <wp:extent cx="4508500" cy="1713865"/>
            <wp:effectExtent l="0" t="0" r="6350" b="635"/>
            <wp:wrapTight wrapText="bothSides">
              <wp:wrapPolygon edited="0">
                <wp:start x="0" y="0"/>
                <wp:lineTo x="0" y="21368"/>
                <wp:lineTo x="21539" y="21368"/>
                <wp:lineTo x="21539" y="0"/>
                <wp:lineTo x="0" y="0"/>
              </wp:wrapPolygon>
            </wp:wrapTight>
            <wp:docPr id="1" name="Picture 1" descr="A blue sign in front of a palm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Post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3C4" w14:textId="77777777" w:rsidR="00B51F65" w:rsidRDefault="00B51F65" w:rsidP="001420B1">
      <w:pPr>
        <w:spacing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</w:p>
    <w:p w14:paraId="49636519" w14:textId="77777777" w:rsidR="00B51F65" w:rsidRDefault="00B51F65" w:rsidP="001420B1">
      <w:pPr>
        <w:spacing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</w:p>
    <w:p w14:paraId="442E9FB7" w14:textId="77777777" w:rsidR="00B51F65" w:rsidRDefault="00B51F65" w:rsidP="001420B1">
      <w:pPr>
        <w:spacing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</w:p>
    <w:p w14:paraId="79547113" w14:textId="052A55EA" w:rsidR="001420B1" w:rsidRPr="00B51F65" w:rsidRDefault="001420B1" w:rsidP="001420B1">
      <w:pPr>
        <w:spacing w:line="240" w:lineRule="auto"/>
        <w:jc w:val="center"/>
        <w:rPr>
          <w:b/>
          <w:bCs/>
          <w:color w:val="538135" w:themeColor="accent6" w:themeShade="BF"/>
          <w:sz w:val="40"/>
          <w:szCs w:val="40"/>
        </w:rPr>
      </w:pPr>
      <w:r w:rsidRPr="00B51F65">
        <w:rPr>
          <w:b/>
          <w:bCs/>
          <w:color w:val="538135" w:themeColor="accent6" w:themeShade="BF"/>
          <w:sz w:val="40"/>
          <w:szCs w:val="40"/>
        </w:rPr>
        <w:t>GUIDELINES FOR PRESENTATIONS</w:t>
      </w:r>
    </w:p>
    <w:p w14:paraId="4AAD950C" w14:textId="35EF1103" w:rsidR="001420B1" w:rsidRPr="001420B1" w:rsidRDefault="001420B1" w:rsidP="001420B1">
      <w:pPr>
        <w:spacing w:line="240" w:lineRule="auto"/>
        <w:rPr>
          <w:b/>
          <w:bCs/>
          <w:sz w:val="28"/>
          <w:szCs w:val="28"/>
        </w:rPr>
      </w:pPr>
      <w:r w:rsidRPr="001420B1">
        <w:rPr>
          <w:b/>
          <w:bCs/>
          <w:sz w:val="28"/>
          <w:szCs w:val="28"/>
        </w:rPr>
        <w:t>Conference Theme</w:t>
      </w:r>
    </w:p>
    <w:p w14:paraId="371C2EBF" w14:textId="1A977C0E" w:rsidR="001420B1" w:rsidRDefault="001420B1" w:rsidP="001420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Shifting Horizons</w:t>
      </w:r>
      <w:r w:rsidR="00B94BA8">
        <w:rPr>
          <w:sz w:val="24"/>
          <w:szCs w:val="24"/>
        </w:rPr>
        <w:t xml:space="preserve"> - </w:t>
      </w:r>
      <w:r w:rsidR="00B94BA8" w:rsidRPr="00B94BA8">
        <w:rPr>
          <w:sz w:val="24"/>
          <w:szCs w:val="24"/>
        </w:rPr>
        <w:t>Our theme, Shifting Horizons, challenges researchers, educators and stakeholders to critically engage with questions about what we might need to change to ensure that our tamariki │ children │ tamaiti and rangatahi │ adolescents │ talavou are prepared for their future.</w:t>
      </w:r>
    </w:p>
    <w:p w14:paraId="78F4B45A" w14:textId="5B5F60B2" w:rsidR="00DA4110" w:rsidRPr="00DA4110" w:rsidRDefault="00DA4110" w:rsidP="004D311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</w:t>
      </w:r>
    </w:p>
    <w:p w14:paraId="4243B654" w14:textId="59F65F83" w:rsidR="001420B1" w:rsidRDefault="001420B1" w:rsidP="001420B1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final call for papers ends on the </w:t>
      </w:r>
      <w:r>
        <w:rPr>
          <w:b/>
          <w:bCs/>
          <w:sz w:val="24"/>
          <w:szCs w:val="24"/>
        </w:rPr>
        <w:t>15 July 2020</w:t>
      </w:r>
    </w:p>
    <w:p w14:paraId="063E44BB" w14:textId="30FFDB2B" w:rsidR="001420B1" w:rsidRDefault="001420B1" w:rsidP="001420B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 of Abstracts</w:t>
      </w:r>
    </w:p>
    <w:p w14:paraId="6287DC2F" w14:textId="525872F3" w:rsidR="001420B1" w:rsidRDefault="001420B1" w:rsidP="001420B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20B1">
        <w:rPr>
          <w:sz w:val="24"/>
          <w:szCs w:val="24"/>
        </w:rPr>
        <w:t xml:space="preserve">All titles, abstracts, keywords, authors </w:t>
      </w:r>
      <w:r w:rsidRPr="00DA4110">
        <w:rPr>
          <w:sz w:val="24"/>
          <w:szCs w:val="24"/>
        </w:rPr>
        <w:t xml:space="preserve">and audiovisual (AV) </w:t>
      </w:r>
      <w:r w:rsidRPr="001420B1">
        <w:rPr>
          <w:sz w:val="24"/>
          <w:szCs w:val="24"/>
        </w:rPr>
        <w:t>requirements for any conference presentation are required by</w:t>
      </w:r>
      <w:r w:rsidR="00DA4110">
        <w:rPr>
          <w:sz w:val="24"/>
          <w:szCs w:val="24"/>
        </w:rPr>
        <w:t xml:space="preserve"> </w:t>
      </w:r>
      <w:r w:rsidRPr="001420B1">
        <w:rPr>
          <w:b/>
          <w:bCs/>
          <w:sz w:val="24"/>
          <w:szCs w:val="24"/>
        </w:rPr>
        <w:t>15 July 2019</w:t>
      </w:r>
      <w:r w:rsidRPr="001420B1">
        <w:rPr>
          <w:sz w:val="24"/>
          <w:szCs w:val="24"/>
        </w:rPr>
        <w:t>.</w:t>
      </w:r>
    </w:p>
    <w:p w14:paraId="488B8977" w14:textId="263EC7D2" w:rsidR="001420B1" w:rsidRDefault="001420B1" w:rsidP="001420B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abstracts have a word limit </w:t>
      </w:r>
      <w:r w:rsidR="00DA411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250 words (the word limit </w:t>
      </w:r>
      <w:r w:rsidR="0062109B">
        <w:rPr>
          <w:sz w:val="24"/>
          <w:szCs w:val="24"/>
        </w:rPr>
        <w:t>only includes the abstract. Title, name, biography etc. is not included in the word count</w:t>
      </w:r>
      <w:r>
        <w:rPr>
          <w:sz w:val="24"/>
          <w:szCs w:val="24"/>
        </w:rPr>
        <w:t xml:space="preserve">). </w:t>
      </w:r>
    </w:p>
    <w:p w14:paraId="547BB12A" w14:textId="6CE92060" w:rsidR="001420B1" w:rsidRDefault="001420B1" w:rsidP="001420B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Abstracts are required to be</w:t>
      </w:r>
      <w:r w:rsidR="00DA4110">
        <w:rPr>
          <w:sz w:val="24"/>
          <w:szCs w:val="24"/>
        </w:rPr>
        <w:t xml:space="preserve"> submitted</w:t>
      </w:r>
      <w:r>
        <w:rPr>
          <w:sz w:val="24"/>
          <w:szCs w:val="24"/>
        </w:rPr>
        <w:t xml:space="preserve"> in M</w:t>
      </w:r>
      <w:r w:rsidR="00DA4110">
        <w:rPr>
          <w:sz w:val="24"/>
          <w:szCs w:val="24"/>
        </w:rPr>
        <w:t>icrosoft</w:t>
      </w:r>
      <w:r>
        <w:rPr>
          <w:sz w:val="24"/>
          <w:szCs w:val="24"/>
        </w:rPr>
        <w:t xml:space="preserve"> Word format (e.g. “.doc”)</w:t>
      </w:r>
      <w:r w:rsidR="00C00B48">
        <w:rPr>
          <w:sz w:val="24"/>
          <w:szCs w:val="24"/>
        </w:rPr>
        <w:t>.</w:t>
      </w:r>
    </w:p>
    <w:p w14:paraId="774021A7" w14:textId="23112B04" w:rsidR="00C00B48" w:rsidRDefault="00C00B48" w:rsidP="00C00B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Abstracts must be submitted </w:t>
      </w:r>
      <w:r w:rsidR="007764EC">
        <w:rPr>
          <w:sz w:val="24"/>
          <w:szCs w:val="24"/>
        </w:rPr>
        <w:t>via the link on the NZARE website (</w:t>
      </w:r>
      <w:hyperlink r:id="rId9" w:history="1">
        <w:r w:rsidR="007764EC">
          <w:rPr>
            <w:rStyle w:val="Hyperlink"/>
          </w:rPr>
          <w:t>https://www.nzare.org.nz/events/conference-2020/</w:t>
        </w:r>
      </w:hyperlink>
      <w:r w:rsidR="007764EC">
        <w:rPr>
          <w:sz w:val="24"/>
          <w:szCs w:val="24"/>
        </w:rPr>
        <w:t>)</w:t>
      </w:r>
    </w:p>
    <w:p w14:paraId="17AC144F" w14:textId="6DED3944" w:rsidR="00B51F65" w:rsidRDefault="00B51F65" w:rsidP="001420B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Abstract</w:t>
      </w:r>
      <w:r w:rsidR="00DA4110">
        <w:rPr>
          <w:sz w:val="24"/>
          <w:szCs w:val="24"/>
        </w:rPr>
        <w:t>s</w:t>
      </w:r>
      <w:r>
        <w:rPr>
          <w:sz w:val="24"/>
          <w:szCs w:val="24"/>
        </w:rPr>
        <w:t xml:space="preserve"> should </w:t>
      </w:r>
      <w:r w:rsidR="00DA4110">
        <w:rPr>
          <w:sz w:val="24"/>
          <w:szCs w:val="24"/>
        </w:rPr>
        <w:t>contain</w:t>
      </w:r>
      <w:r>
        <w:rPr>
          <w:sz w:val="24"/>
          <w:szCs w:val="24"/>
        </w:rPr>
        <w:t>:</w:t>
      </w:r>
    </w:p>
    <w:p w14:paraId="2F0291A3" w14:textId="247759D7" w:rsidR="00B51F65" w:rsidRDefault="00B51F65" w:rsidP="00B51F6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Objectives of the research</w:t>
      </w:r>
    </w:p>
    <w:p w14:paraId="75DA6E4A" w14:textId="311FC054" w:rsidR="00B51F65" w:rsidRDefault="00B51F65" w:rsidP="00B51F6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Contemporary </w:t>
      </w:r>
      <w:r w:rsidR="00B531A2">
        <w:rPr>
          <w:sz w:val="24"/>
          <w:szCs w:val="24"/>
        </w:rPr>
        <w:t>significance</w:t>
      </w:r>
      <w:r>
        <w:rPr>
          <w:sz w:val="24"/>
          <w:szCs w:val="24"/>
        </w:rPr>
        <w:t xml:space="preserve"> and/or scholarly relevance</w:t>
      </w:r>
    </w:p>
    <w:p w14:paraId="42A123F3" w14:textId="771BC127" w:rsidR="00B51F65" w:rsidRDefault="00B51F65" w:rsidP="00B51F6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Perspective(s) or theor</w:t>
      </w:r>
      <w:r w:rsidR="00B531A2">
        <w:rPr>
          <w:sz w:val="24"/>
          <w:szCs w:val="24"/>
        </w:rPr>
        <w:t>etical framework(s)</w:t>
      </w:r>
    </w:p>
    <w:p w14:paraId="7ECDF285" w14:textId="348C7D6A" w:rsidR="00B531A2" w:rsidRDefault="00B531A2" w:rsidP="00B51F6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Methods, techniques or models of inquiry</w:t>
      </w:r>
    </w:p>
    <w:p w14:paraId="0CB42B6B" w14:textId="3945B8D0" w:rsidR="00B531A2" w:rsidRDefault="00B531A2" w:rsidP="00B51F6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Results and/or substantiated conclusions and/or key learnings to date</w:t>
      </w:r>
    </w:p>
    <w:p w14:paraId="05C9DBAB" w14:textId="79FF554A" w:rsidR="007764EC" w:rsidRDefault="007764EC" w:rsidP="007764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year we are doing a rolling acceptance process</w:t>
      </w:r>
      <w:r w:rsidR="00DA4110">
        <w:rPr>
          <w:sz w:val="24"/>
          <w:szCs w:val="24"/>
        </w:rPr>
        <w:t>. T</w:t>
      </w:r>
      <w:r>
        <w:rPr>
          <w:sz w:val="24"/>
          <w:szCs w:val="24"/>
        </w:rPr>
        <w:t>his will speed up the rate</w:t>
      </w:r>
      <w:r w:rsidR="00DA4110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which </w:t>
      </w:r>
      <w:r w:rsidR="00DA4110">
        <w:rPr>
          <w:sz w:val="24"/>
          <w:szCs w:val="24"/>
        </w:rPr>
        <w:t>we</w:t>
      </w:r>
      <w:r>
        <w:rPr>
          <w:sz w:val="24"/>
          <w:szCs w:val="24"/>
        </w:rPr>
        <w:t xml:space="preserve"> will </w:t>
      </w:r>
      <w:r w:rsidR="00DA4110">
        <w:rPr>
          <w:sz w:val="24"/>
          <w:szCs w:val="24"/>
        </w:rPr>
        <w:t>return your submission</w:t>
      </w:r>
      <w:r>
        <w:rPr>
          <w:sz w:val="24"/>
          <w:szCs w:val="24"/>
        </w:rPr>
        <w:t>.</w:t>
      </w:r>
    </w:p>
    <w:p w14:paraId="52814A53" w14:textId="1FEAB8E5" w:rsidR="00C00B48" w:rsidRPr="00DA4110" w:rsidRDefault="00C00B48" w:rsidP="001420B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4110">
        <w:rPr>
          <w:sz w:val="24"/>
          <w:szCs w:val="24"/>
        </w:rPr>
        <w:t xml:space="preserve">Authors are limited to two physical presentations </w:t>
      </w:r>
      <w:r w:rsidR="00DA4110">
        <w:rPr>
          <w:sz w:val="24"/>
          <w:szCs w:val="24"/>
        </w:rPr>
        <w:t>at</w:t>
      </w:r>
      <w:r w:rsidRPr="00DA4110">
        <w:rPr>
          <w:sz w:val="24"/>
          <w:szCs w:val="24"/>
        </w:rPr>
        <w:t xml:space="preserve"> the conference. There is, however, no limit to the number of times they are listed as contributing (non-presenting) authors</w:t>
      </w:r>
      <w:r w:rsidR="00DA4110">
        <w:rPr>
          <w:sz w:val="24"/>
          <w:szCs w:val="24"/>
        </w:rPr>
        <w:t xml:space="preserve">. </w:t>
      </w:r>
    </w:p>
    <w:p w14:paraId="19D9CDC4" w14:textId="756E27E6" w:rsidR="001420B1" w:rsidRDefault="00B94BA8" w:rsidP="001420B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word document submitted the person(s) must include all </w:t>
      </w:r>
      <w:r w:rsidR="0062109B">
        <w:rPr>
          <w:sz w:val="24"/>
          <w:szCs w:val="24"/>
        </w:rPr>
        <w:t>details below</w:t>
      </w:r>
      <w:r>
        <w:rPr>
          <w:sz w:val="24"/>
          <w:szCs w:val="24"/>
        </w:rPr>
        <w:t xml:space="preserve"> (please see </w:t>
      </w:r>
      <w:r w:rsidRPr="0062109B">
        <w:rPr>
          <w:sz w:val="24"/>
          <w:szCs w:val="24"/>
        </w:rPr>
        <w:t xml:space="preserve">page </w:t>
      </w:r>
      <w:r w:rsidR="00B51F65" w:rsidRPr="0062109B">
        <w:rPr>
          <w:sz w:val="24"/>
          <w:szCs w:val="24"/>
        </w:rPr>
        <w:t>4</w:t>
      </w:r>
      <w:r w:rsidRPr="0062109B">
        <w:rPr>
          <w:sz w:val="24"/>
          <w:szCs w:val="24"/>
        </w:rPr>
        <w:t xml:space="preserve"> for a template</w:t>
      </w:r>
      <w:r>
        <w:rPr>
          <w:sz w:val="24"/>
          <w:szCs w:val="24"/>
        </w:rPr>
        <w:t>):</w:t>
      </w:r>
    </w:p>
    <w:p w14:paraId="211CD73A" w14:textId="77777777" w:rsidR="007764EC" w:rsidRDefault="007764EC" w:rsidP="007764E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Name(s)</w:t>
      </w:r>
    </w:p>
    <w:p w14:paraId="4F746CBE" w14:textId="30FFE635" w:rsidR="00B94BA8" w:rsidRDefault="00B51F65" w:rsidP="00B94B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Title</w:t>
      </w:r>
      <w:r w:rsidR="007764EC">
        <w:rPr>
          <w:sz w:val="24"/>
          <w:szCs w:val="24"/>
        </w:rPr>
        <w:t>(s)</w:t>
      </w:r>
    </w:p>
    <w:p w14:paraId="77BA05EA" w14:textId="63B41ACD" w:rsidR="00B51F65" w:rsidRDefault="00B51F65" w:rsidP="00B94B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Institute(s)</w:t>
      </w:r>
    </w:p>
    <w:p w14:paraId="421DFA03" w14:textId="448212DA" w:rsidR="00B94BA8" w:rsidRDefault="00B94BA8" w:rsidP="00B94B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Special Interest Group </w:t>
      </w:r>
      <w:r w:rsidR="00DA4110">
        <w:rPr>
          <w:sz w:val="24"/>
          <w:szCs w:val="24"/>
        </w:rPr>
        <w:t>the</w:t>
      </w:r>
      <w:r>
        <w:rPr>
          <w:sz w:val="24"/>
          <w:szCs w:val="24"/>
        </w:rPr>
        <w:t xml:space="preserve"> presentation best falls under</w:t>
      </w:r>
    </w:p>
    <w:p w14:paraId="4B3982D1" w14:textId="4A3C2BD7" w:rsidR="0062109B" w:rsidRDefault="0062109B" w:rsidP="00B94B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Biography</w:t>
      </w:r>
    </w:p>
    <w:p w14:paraId="016AB119" w14:textId="675CD8A2" w:rsidR="0062109B" w:rsidRDefault="0062109B" w:rsidP="00B94B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Abstract</w:t>
      </w:r>
    </w:p>
    <w:p w14:paraId="42A6CB42" w14:textId="284CDDE9" w:rsidR="00C00B48" w:rsidRDefault="00266EF1" w:rsidP="00B51F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9965A4" w14:textId="454397B7" w:rsidR="00C00B48" w:rsidRDefault="00C00B48" w:rsidP="00C00B48">
      <w:pPr>
        <w:spacing w:line="240" w:lineRule="auto"/>
        <w:rPr>
          <w:b/>
          <w:bCs/>
          <w:sz w:val="40"/>
          <w:szCs w:val="40"/>
        </w:rPr>
      </w:pPr>
      <w:r w:rsidRPr="00B51F65">
        <w:rPr>
          <w:b/>
          <w:bCs/>
          <w:color w:val="538135" w:themeColor="accent6" w:themeShade="BF"/>
          <w:sz w:val="40"/>
          <w:szCs w:val="40"/>
        </w:rPr>
        <w:lastRenderedPageBreak/>
        <w:t>Presentation Types</w:t>
      </w:r>
    </w:p>
    <w:p w14:paraId="1E060A68" w14:textId="009F99CD" w:rsidR="00C00B48" w:rsidRDefault="00C00B48" w:rsidP="00C00B4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</w:t>
      </w:r>
    </w:p>
    <w:p w14:paraId="53582798" w14:textId="59AF0329" w:rsidR="008450D0" w:rsidRDefault="008450D0" w:rsidP="008450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450D0">
        <w:rPr>
          <w:sz w:val="24"/>
          <w:szCs w:val="24"/>
        </w:rPr>
        <w:t>Papers are either classified as Completed or In-Progress. An In-Progress paper is one in which research / data collection is still ongoing and conclusions are still being formed</w:t>
      </w:r>
      <w:r w:rsidR="007764EC">
        <w:rPr>
          <w:sz w:val="24"/>
          <w:szCs w:val="24"/>
        </w:rPr>
        <w:t xml:space="preserve"> </w:t>
      </w:r>
    </w:p>
    <w:p w14:paraId="05DBF8EF" w14:textId="71F0F1EE" w:rsidR="008450D0" w:rsidRDefault="008450D0" w:rsidP="008450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450D0">
        <w:rPr>
          <w:sz w:val="24"/>
          <w:szCs w:val="24"/>
        </w:rPr>
        <w:t>Papers will be allocated into 25-minute sessions (20 minutes presentation &amp; 5 minutes discussion)</w:t>
      </w:r>
      <w:r w:rsidR="007764EC">
        <w:rPr>
          <w:sz w:val="24"/>
          <w:szCs w:val="24"/>
        </w:rPr>
        <w:t xml:space="preserve">. </w:t>
      </w:r>
    </w:p>
    <w:p w14:paraId="300C4283" w14:textId="06680AA6" w:rsidR="008450D0" w:rsidRDefault="008450D0" w:rsidP="008450D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Symposia</w:t>
      </w:r>
    </w:p>
    <w:p w14:paraId="111D1310" w14:textId="2FD04377" w:rsidR="008450D0" w:rsidRDefault="008450D0" w:rsidP="008450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450D0">
        <w:rPr>
          <w:sz w:val="24"/>
          <w:szCs w:val="24"/>
        </w:rPr>
        <w:t>A symposium is a collection of individual but associated papers, submitted separately but under one coordinator. Two to four papers can make up a symposium – three is probably ideal in a 90-minute concurrent</w:t>
      </w:r>
      <w:r>
        <w:rPr>
          <w:sz w:val="24"/>
          <w:szCs w:val="24"/>
        </w:rPr>
        <w:t xml:space="preserve"> </w:t>
      </w:r>
      <w:r w:rsidRPr="008450D0">
        <w:rPr>
          <w:sz w:val="24"/>
          <w:szCs w:val="24"/>
        </w:rPr>
        <w:t>session.</w:t>
      </w:r>
    </w:p>
    <w:p w14:paraId="23711A5E" w14:textId="59A6F91A" w:rsidR="008450D0" w:rsidRDefault="008450D0" w:rsidP="008450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450D0">
        <w:rPr>
          <w:sz w:val="24"/>
          <w:szCs w:val="24"/>
        </w:rPr>
        <w:t>Symposia can be a combination of completed and in-progress papers.</w:t>
      </w:r>
    </w:p>
    <w:p w14:paraId="450D3B8D" w14:textId="4C0105BC" w:rsidR="008450D0" w:rsidRDefault="008450D0" w:rsidP="008450D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450D0">
        <w:rPr>
          <w:sz w:val="24"/>
          <w:szCs w:val="24"/>
        </w:rPr>
        <w:t>A symposium will require:</w:t>
      </w:r>
    </w:p>
    <w:p w14:paraId="5E45E838" w14:textId="28161BB8" w:rsidR="00B8410D" w:rsidRDefault="00B8410D" w:rsidP="00B8410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cover title</w:t>
      </w:r>
      <w:r w:rsidR="007764EC">
        <w:rPr>
          <w:sz w:val="24"/>
          <w:szCs w:val="24"/>
        </w:rPr>
        <w:t xml:space="preserve"> </w:t>
      </w:r>
      <w:r>
        <w:rPr>
          <w:sz w:val="24"/>
          <w:szCs w:val="24"/>
        </w:rPr>
        <w:t>and corresponding abstract details of all presenting authors involved.</w:t>
      </w:r>
    </w:p>
    <w:p w14:paraId="2BC301E3" w14:textId="0EF7367C" w:rsidR="008450D0" w:rsidRDefault="00B8410D" w:rsidP="00B8410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title and abstract for each paper within the symposium, details of presenting </w:t>
      </w:r>
      <w:r w:rsidR="00116FD6">
        <w:rPr>
          <w:sz w:val="24"/>
          <w:szCs w:val="24"/>
        </w:rPr>
        <w:t>and</w:t>
      </w:r>
      <w:r>
        <w:rPr>
          <w:sz w:val="24"/>
          <w:szCs w:val="24"/>
        </w:rPr>
        <w:t xml:space="preserve"> contributing authors, and audio-visual requirements. To indicate the order in which the papers will be presented, please indicate, through subtitling, what number </w:t>
      </w:r>
      <w:r w:rsidR="00116FD6">
        <w:rPr>
          <w:sz w:val="24"/>
          <w:szCs w:val="24"/>
        </w:rPr>
        <w:t>each paper is</w:t>
      </w:r>
      <w:r>
        <w:rPr>
          <w:sz w:val="24"/>
          <w:szCs w:val="24"/>
        </w:rPr>
        <w:t xml:space="preserve"> (e.g. “SymPaper#1”).</w:t>
      </w:r>
    </w:p>
    <w:p w14:paraId="6A931D08" w14:textId="54EC9FFE" w:rsidR="00B8410D" w:rsidRDefault="00B8410D" w:rsidP="00B8410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Symposia will occupy three programme slots (90 minutes).</w:t>
      </w:r>
    </w:p>
    <w:p w14:paraId="14C2C53E" w14:textId="19711F9C" w:rsidR="00266EF1" w:rsidRDefault="00266EF1" w:rsidP="00266EF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Round Table Discussions </w:t>
      </w:r>
    </w:p>
    <w:p w14:paraId="15F941E9" w14:textId="2544426D" w:rsidR="00266EF1" w:rsidRDefault="009F62AE" w:rsidP="00266EF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Round table presentations</w:t>
      </w:r>
      <w:r w:rsidR="00266EF1" w:rsidRPr="00266EF1">
        <w:rPr>
          <w:sz w:val="24"/>
          <w:szCs w:val="24"/>
        </w:rPr>
        <w:t xml:space="preserve"> can be</w:t>
      </w:r>
      <w:r>
        <w:rPr>
          <w:sz w:val="24"/>
          <w:szCs w:val="24"/>
        </w:rPr>
        <w:t xml:space="preserve"> about</w:t>
      </w:r>
      <w:r w:rsidR="00266EF1" w:rsidRPr="00266EF1">
        <w:rPr>
          <w:sz w:val="24"/>
          <w:szCs w:val="24"/>
        </w:rPr>
        <w:t xml:space="preserve"> </w:t>
      </w:r>
      <w:r w:rsidR="00116FD6">
        <w:rPr>
          <w:sz w:val="24"/>
          <w:szCs w:val="24"/>
        </w:rPr>
        <w:t>i</w:t>
      </w:r>
      <w:r w:rsidR="00266EF1" w:rsidRPr="00116FD6">
        <w:rPr>
          <w:sz w:val="24"/>
          <w:szCs w:val="24"/>
        </w:rPr>
        <w:t>n-</w:t>
      </w:r>
      <w:r w:rsidR="00116FD6">
        <w:rPr>
          <w:sz w:val="24"/>
          <w:szCs w:val="24"/>
        </w:rPr>
        <w:t>p</w:t>
      </w:r>
      <w:r w:rsidR="00266EF1" w:rsidRPr="00116FD6">
        <w:rPr>
          <w:sz w:val="24"/>
          <w:szCs w:val="24"/>
        </w:rPr>
        <w:t xml:space="preserve">rogress or </w:t>
      </w:r>
      <w:r w:rsidR="00116FD6">
        <w:rPr>
          <w:sz w:val="24"/>
          <w:szCs w:val="24"/>
        </w:rPr>
        <w:t>c</w:t>
      </w:r>
      <w:r w:rsidR="00266EF1" w:rsidRPr="00116FD6">
        <w:rPr>
          <w:sz w:val="24"/>
          <w:szCs w:val="24"/>
        </w:rPr>
        <w:t>ompleted papers</w:t>
      </w:r>
      <w:r w:rsidR="00116FD6">
        <w:rPr>
          <w:sz w:val="24"/>
          <w:szCs w:val="24"/>
        </w:rPr>
        <w:t>.</w:t>
      </w:r>
      <w:r w:rsidR="007764EC">
        <w:rPr>
          <w:sz w:val="24"/>
          <w:szCs w:val="24"/>
        </w:rPr>
        <w:t xml:space="preserve"> </w:t>
      </w:r>
    </w:p>
    <w:p w14:paraId="77B4267F" w14:textId="71B5E7D3" w:rsidR="00235C42" w:rsidRDefault="00235C42" w:rsidP="00266EF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Round table discussions can be up to 25 minutes in length.</w:t>
      </w:r>
    </w:p>
    <w:p w14:paraId="742BA75A" w14:textId="2E1E4ECD" w:rsidR="00266EF1" w:rsidRDefault="00116FD6" w:rsidP="00266EF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Handouts can be helpful tools in a round table discussion</w:t>
      </w:r>
      <w:r w:rsidR="00266EF1" w:rsidRPr="00266EF1">
        <w:rPr>
          <w:sz w:val="24"/>
          <w:szCs w:val="24"/>
        </w:rPr>
        <w:t xml:space="preserve"> </w:t>
      </w:r>
      <w:r>
        <w:rPr>
          <w:sz w:val="24"/>
          <w:szCs w:val="24"/>
        </w:rPr>
        <w:t>to promote engagement with the presentation.</w:t>
      </w:r>
    </w:p>
    <w:p w14:paraId="5D7B880E" w14:textId="6E1516DF" w:rsidR="00266EF1" w:rsidRDefault="00116FD6" w:rsidP="00266EF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round table discussions we do not provide audio-visual equipment. However, presenters may bring </w:t>
      </w:r>
      <w:r w:rsidR="00266EF1" w:rsidRPr="00266EF1">
        <w:rPr>
          <w:sz w:val="24"/>
          <w:szCs w:val="24"/>
        </w:rPr>
        <w:t xml:space="preserve">their own </w:t>
      </w:r>
      <w:r>
        <w:rPr>
          <w:sz w:val="24"/>
          <w:szCs w:val="24"/>
        </w:rPr>
        <w:t xml:space="preserve">devices if </w:t>
      </w:r>
      <w:r w:rsidR="009F62AE">
        <w:rPr>
          <w:sz w:val="24"/>
          <w:szCs w:val="24"/>
        </w:rPr>
        <w:t>desired</w:t>
      </w:r>
      <w:r w:rsidR="00266EF1" w:rsidRPr="00266EF1">
        <w:rPr>
          <w:sz w:val="24"/>
          <w:szCs w:val="24"/>
        </w:rPr>
        <w:t xml:space="preserve">. </w:t>
      </w:r>
    </w:p>
    <w:p w14:paraId="392A1779" w14:textId="1242FEC7" w:rsidR="00266EF1" w:rsidRDefault="00116FD6" w:rsidP="00B43AC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p</w:t>
      </w:r>
      <w:r w:rsidR="00266EF1" w:rsidRPr="00266EF1">
        <w:rPr>
          <w:sz w:val="24"/>
          <w:szCs w:val="24"/>
        </w:rPr>
        <w:t>resenters</w:t>
      </w:r>
      <w:r w:rsidR="00235C42">
        <w:rPr>
          <w:sz w:val="24"/>
          <w:szCs w:val="24"/>
        </w:rPr>
        <w:t xml:space="preserve"> wish to distribute their papers, they should bring these with them as the conference does not provide </w:t>
      </w:r>
      <w:r w:rsidR="00266EF1" w:rsidRPr="00266EF1">
        <w:rPr>
          <w:sz w:val="24"/>
          <w:szCs w:val="24"/>
        </w:rPr>
        <w:t xml:space="preserve">any </w:t>
      </w:r>
      <w:r w:rsidR="00235C42">
        <w:rPr>
          <w:sz w:val="24"/>
          <w:szCs w:val="24"/>
        </w:rPr>
        <w:t>printing services</w:t>
      </w:r>
    </w:p>
    <w:p w14:paraId="0112B495" w14:textId="77777777" w:rsidR="00B43AC8" w:rsidRPr="00B43AC8" w:rsidRDefault="00B43AC8" w:rsidP="00B43AC8">
      <w:pPr>
        <w:pStyle w:val="ListParagraph"/>
        <w:spacing w:line="240" w:lineRule="auto"/>
        <w:rPr>
          <w:sz w:val="24"/>
          <w:szCs w:val="24"/>
        </w:rPr>
      </w:pPr>
    </w:p>
    <w:p w14:paraId="089AB764" w14:textId="53522353" w:rsidR="00266EF1" w:rsidRDefault="00266EF1" w:rsidP="00266EF1">
      <w:pPr>
        <w:spacing w:line="240" w:lineRule="auto"/>
        <w:rPr>
          <w:b/>
          <w:bCs/>
          <w:sz w:val="40"/>
          <w:szCs w:val="40"/>
        </w:rPr>
      </w:pPr>
      <w:r w:rsidRPr="00B51F65">
        <w:rPr>
          <w:b/>
          <w:bCs/>
          <w:color w:val="538135" w:themeColor="accent6" w:themeShade="BF"/>
          <w:sz w:val="40"/>
          <w:szCs w:val="40"/>
        </w:rPr>
        <w:t>Presentation Guidelines</w:t>
      </w:r>
    </w:p>
    <w:p w14:paraId="5CD684DA" w14:textId="26CC09EB" w:rsidR="00266EF1" w:rsidRDefault="00266EF1" w:rsidP="00266E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accepted presentations will be published on our conference website. The abstracts will also be made available in the conference handbook. Upon </w:t>
      </w:r>
      <w:r w:rsidR="00F7046B">
        <w:rPr>
          <w:sz w:val="24"/>
          <w:szCs w:val="24"/>
        </w:rPr>
        <w:t>registering</w:t>
      </w:r>
      <w:r>
        <w:rPr>
          <w:sz w:val="24"/>
          <w:szCs w:val="24"/>
        </w:rPr>
        <w:t xml:space="preserve"> you will be able to indicate whether you want a digital or physical copy of the conference handbook.</w:t>
      </w:r>
    </w:p>
    <w:p w14:paraId="393E8D70" w14:textId="2926E71B" w:rsidR="0079483D" w:rsidRDefault="0079483D" w:rsidP="0079483D">
      <w:pPr>
        <w:spacing w:line="240" w:lineRule="auto"/>
        <w:rPr>
          <w:sz w:val="24"/>
          <w:szCs w:val="24"/>
        </w:rPr>
      </w:pPr>
      <w:r w:rsidRPr="0079483D">
        <w:rPr>
          <w:sz w:val="24"/>
          <w:szCs w:val="24"/>
        </w:rPr>
        <w:t>For papers to be</w:t>
      </w:r>
      <w:r w:rsidR="009F62AE">
        <w:rPr>
          <w:sz w:val="24"/>
          <w:szCs w:val="24"/>
        </w:rPr>
        <w:t xml:space="preserve"> included</w:t>
      </w:r>
      <w:r w:rsidRPr="0079483D">
        <w:rPr>
          <w:sz w:val="24"/>
          <w:szCs w:val="24"/>
        </w:rPr>
        <w:t xml:space="preserve"> in the </w:t>
      </w:r>
      <w:r w:rsidR="009F62AE">
        <w:rPr>
          <w:sz w:val="24"/>
          <w:szCs w:val="24"/>
        </w:rPr>
        <w:t>conference programme</w:t>
      </w:r>
      <w:r w:rsidRPr="0079483D">
        <w:rPr>
          <w:sz w:val="24"/>
          <w:szCs w:val="24"/>
        </w:rPr>
        <w:t>, the main author (the person in the conference database under whom</w:t>
      </w:r>
      <w:r>
        <w:rPr>
          <w:sz w:val="24"/>
          <w:szCs w:val="24"/>
        </w:rPr>
        <w:t xml:space="preserve"> </w:t>
      </w:r>
      <w:r w:rsidRPr="0079483D">
        <w:rPr>
          <w:sz w:val="24"/>
          <w:szCs w:val="24"/>
        </w:rPr>
        <w:t xml:space="preserve">the paper/symposium is listed) </w:t>
      </w:r>
      <w:r w:rsidR="009F62AE">
        <w:rPr>
          <w:sz w:val="24"/>
          <w:szCs w:val="24"/>
        </w:rPr>
        <w:t>needs</w:t>
      </w:r>
      <w:r w:rsidRPr="0079483D">
        <w:rPr>
          <w:sz w:val="24"/>
          <w:szCs w:val="24"/>
        </w:rPr>
        <w:t xml:space="preserve"> to have registered and paid their registration fee by the end of </w:t>
      </w:r>
      <w:r>
        <w:rPr>
          <w:sz w:val="24"/>
          <w:szCs w:val="24"/>
        </w:rPr>
        <w:t>August</w:t>
      </w:r>
      <w:r w:rsidRPr="0079483D">
        <w:rPr>
          <w:sz w:val="24"/>
          <w:szCs w:val="24"/>
        </w:rPr>
        <w:t xml:space="preserve">. </w:t>
      </w:r>
    </w:p>
    <w:p w14:paraId="63CC44B2" w14:textId="44665E9E" w:rsidR="0079483D" w:rsidRPr="0079483D" w:rsidRDefault="0079483D" w:rsidP="0079483D">
      <w:pPr>
        <w:spacing w:line="240" w:lineRule="auto"/>
        <w:rPr>
          <w:sz w:val="24"/>
          <w:szCs w:val="24"/>
        </w:rPr>
      </w:pPr>
      <w:r w:rsidRPr="0079483D">
        <w:rPr>
          <w:sz w:val="24"/>
          <w:szCs w:val="24"/>
        </w:rPr>
        <w:t>The paper should reflect a strong research basis and should also mirror the conference theme of “</w:t>
      </w:r>
      <w:r>
        <w:rPr>
          <w:i/>
          <w:iCs/>
          <w:sz w:val="24"/>
          <w:szCs w:val="24"/>
        </w:rPr>
        <w:t>Shifting Horizons”</w:t>
      </w:r>
      <w:r>
        <w:rPr>
          <w:sz w:val="24"/>
          <w:szCs w:val="24"/>
        </w:rPr>
        <w:t>.</w:t>
      </w:r>
    </w:p>
    <w:p w14:paraId="40D7E841" w14:textId="0BF0556D" w:rsidR="0079483D" w:rsidRDefault="0079483D" w:rsidP="0079483D">
      <w:pPr>
        <w:spacing w:line="240" w:lineRule="auto"/>
        <w:rPr>
          <w:sz w:val="24"/>
          <w:szCs w:val="24"/>
        </w:rPr>
      </w:pPr>
      <w:r w:rsidRPr="0079483D">
        <w:rPr>
          <w:sz w:val="24"/>
          <w:szCs w:val="24"/>
        </w:rPr>
        <w:t>Each paper session will be 25 minutes in length</w:t>
      </w:r>
      <w:r w:rsidR="00927A26">
        <w:rPr>
          <w:sz w:val="24"/>
          <w:szCs w:val="24"/>
        </w:rPr>
        <w:t xml:space="preserve"> (this includes time for questions and discussion)</w:t>
      </w:r>
      <w:r w:rsidRPr="0079483D">
        <w:rPr>
          <w:sz w:val="24"/>
          <w:szCs w:val="24"/>
        </w:rPr>
        <w:t xml:space="preserve">. </w:t>
      </w:r>
      <w:r w:rsidR="00927A26">
        <w:rPr>
          <w:sz w:val="24"/>
          <w:szCs w:val="24"/>
        </w:rPr>
        <w:t xml:space="preserve">Presenters will be expected to time themselves. </w:t>
      </w:r>
      <w:r w:rsidRPr="0079483D">
        <w:rPr>
          <w:sz w:val="24"/>
          <w:szCs w:val="24"/>
        </w:rPr>
        <w:t xml:space="preserve">5 minutes will be timetabled for transition time, </w:t>
      </w:r>
      <w:r w:rsidR="00ED35EF">
        <w:rPr>
          <w:sz w:val="24"/>
          <w:szCs w:val="24"/>
        </w:rPr>
        <w:t xml:space="preserve">allowing </w:t>
      </w:r>
      <w:r w:rsidRPr="0079483D">
        <w:rPr>
          <w:sz w:val="24"/>
          <w:szCs w:val="24"/>
        </w:rPr>
        <w:t xml:space="preserve">delegates to move to the next programmed paper. </w:t>
      </w:r>
    </w:p>
    <w:p w14:paraId="17378587" w14:textId="38F19F38" w:rsidR="001B4413" w:rsidRDefault="0079483D" w:rsidP="0079483D">
      <w:pPr>
        <w:spacing w:line="240" w:lineRule="auto"/>
        <w:rPr>
          <w:sz w:val="24"/>
          <w:szCs w:val="24"/>
        </w:rPr>
      </w:pPr>
      <w:r w:rsidRPr="0079483D">
        <w:rPr>
          <w:sz w:val="24"/>
          <w:szCs w:val="24"/>
        </w:rPr>
        <w:t xml:space="preserve">Each programmed symposium has 90 minutes total time allocated. The presentation of 3-4 papers within the </w:t>
      </w:r>
      <w:r w:rsidR="00ED35EF" w:rsidRPr="0079483D">
        <w:rPr>
          <w:sz w:val="24"/>
          <w:szCs w:val="24"/>
        </w:rPr>
        <w:t>90-minute</w:t>
      </w:r>
      <w:r w:rsidRPr="0079483D">
        <w:rPr>
          <w:sz w:val="24"/>
          <w:szCs w:val="24"/>
        </w:rPr>
        <w:t xml:space="preserve"> time period is </w:t>
      </w:r>
      <w:r w:rsidR="00ED35EF">
        <w:rPr>
          <w:sz w:val="24"/>
          <w:szCs w:val="24"/>
        </w:rPr>
        <w:t>advised</w:t>
      </w:r>
      <w:r w:rsidRPr="0079483D">
        <w:rPr>
          <w:sz w:val="24"/>
          <w:szCs w:val="24"/>
        </w:rPr>
        <w:t>. The order/sequence of the presentation is at the discretion of the authors</w:t>
      </w:r>
      <w:r w:rsidR="00ED35EF">
        <w:rPr>
          <w:sz w:val="24"/>
          <w:szCs w:val="24"/>
        </w:rPr>
        <w:t xml:space="preserve">. </w:t>
      </w:r>
      <w:r w:rsidRPr="0079483D">
        <w:rPr>
          <w:sz w:val="24"/>
          <w:szCs w:val="24"/>
        </w:rPr>
        <w:t xml:space="preserve">Symposia may be timetabled to run simultaneously </w:t>
      </w:r>
      <w:r w:rsidR="00ED35EF">
        <w:rPr>
          <w:sz w:val="24"/>
          <w:szCs w:val="24"/>
        </w:rPr>
        <w:t>with</w:t>
      </w:r>
      <w:r w:rsidRPr="0079483D">
        <w:rPr>
          <w:sz w:val="24"/>
          <w:szCs w:val="24"/>
        </w:rPr>
        <w:t xml:space="preserve"> other symposia.</w:t>
      </w:r>
    </w:p>
    <w:p w14:paraId="2875F725" w14:textId="5EEE195F" w:rsidR="001B4413" w:rsidRDefault="001B4413" w:rsidP="007948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It is noted that the Wi-fi at the Conference venue can be patchy</w:t>
      </w:r>
      <w:r w:rsidR="00F44965">
        <w:rPr>
          <w:sz w:val="24"/>
          <w:szCs w:val="24"/>
        </w:rPr>
        <w:t>. I</w:t>
      </w:r>
      <w:r>
        <w:rPr>
          <w:sz w:val="24"/>
          <w:szCs w:val="24"/>
        </w:rPr>
        <w:t>t is recommended to bring your digital copy of the Conference handbook pre-downloaded</w:t>
      </w:r>
      <w:r w:rsidR="001E183C">
        <w:rPr>
          <w:sz w:val="24"/>
          <w:szCs w:val="24"/>
        </w:rPr>
        <w:t xml:space="preserve"> to avoid any issues</w:t>
      </w:r>
      <w:r>
        <w:rPr>
          <w:sz w:val="24"/>
          <w:szCs w:val="24"/>
        </w:rPr>
        <w:t>.</w:t>
      </w:r>
    </w:p>
    <w:p w14:paraId="5CF0265F" w14:textId="03FCEA33" w:rsidR="0047500D" w:rsidRDefault="0047500D" w:rsidP="0079483D">
      <w:pPr>
        <w:spacing w:line="240" w:lineRule="auto"/>
        <w:rPr>
          <w:sz w:val="24"/>
          <w:szCs w:val="24"/>
        </w:rPr>
      </w:pPr>
    </w:p>
    <w:p w14:paraId="18B15848" w14:textId="1D10ED29" w:rsidR="0047500D" w:rsidRPr="00B51F65" w:rsidRDefault="0047500D" w:rsidP="0079483D">
      <w:pPr>
        <w:spacing w:line="240" w:lineRule="auto"/>
        <w:rPr>
          <w:b/>
          <w:bCs/>
          <w:color w:val="538135" w:themeColor="accent6" w:themeShade="BF"/>
          <w:sz w:val="40"/>
          <w:szCs w:val="40"/>
        </w:rPr>
      </w:pPr>
      <w:r w:rsidRPr="00B51F65">
        <w:rPr>
          <w:b/>
          <w:bCs/>
          <w:color w:val="538135" w:themeColor="accent6" w:themeShade="BF"/>
          <w:sz w:val="40"/>
          <w:szCs w:val="40"/>
        </w:rPr>
        <w:t>Conference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7500D" w14:paraId="65DBD3E4" w14:textId="77777777" w:rsidTr="0047500D">
        <w:tc>
          <w:tcPr>
            <w:tcW w:w="1980" w:type="dxa"/>
          </w:tcPr>
          <w:p w14:paraId="0C246B68" w14:textId="7F86B5D9" w:rsidR="0047500D" w:rsidRPr="0047500D" w:rsidRDefault="0047500D" w:rsidP="0047500D">
            <w:pPr>
              <w:jc w:val="center"/>
              <w:rPr>
                <w:b/>
                <w:bCs/>
                <w:sz w:val="24"/>
                <w:szCs w:val="24"/>
              </w:rPr>
            </w:pPr>
            <w:r w:rsidRPr="0047500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476" w:type="dxa"/>
          </w:tcPr>
          <w:p w14:paraId="6C391B5E" w14:textId="4AA72359" w:rsidR="0047500D" w:rsidRPr="0047500D" w:rsidRDefault="00ED35EF" w:rsidP="004750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47500D" w14:paraId="3BECDAE5" w14:textId="77777777" w:rsidTr="0047500D">
        <w:tc>
          <w:tcPr>
            <w:tcW w:w="1980" w:type="dxa"/>
          </w:tcPr>
          <w:p w14:paraId="3D5CBDA7" w14:textId="420E764D" w:rsidR="0047500D" w:rsidRPr="0047500D" w:rsidRDefault="0047500D" w:rsidP="0079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March</w:t>
            </w:r>
          </w:p>
        </w:tc>
        <w:tc>
          <w:tcPr>
            <w:tcW w:w="8476" w:type="dxa"/>
          </w:tcPr>
          <w:p w14:paraId="697389C4" w14:textId="48D357AA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 xml:space="preserve">Call for </w:t>
            </w:r>
            <w:r w:rsidR="004D3115">
              <w:rPr>
                <w:sz w:val="24"/>
                <w:szCs w:val="24"/>
              </w:rPr>
              <w:t>p</w:t>
            </w:r>
            <w:r w:rsidRPr="0047500D">
              <w:rPr>
                <w:sz w:val="24"/>
                <w:szCs w:val="24"/>
              </w:rPr>
              <w:t xml:space="preserve">apers </w:t>
            </w:r>
            <w:r w:rsidR="004D3115">
              <w:rPr>
                <w:sz w:val="24"/>
                <w:szCs w:val="24"/>
              </w:rPr>
              <w:t>o</w:t>
            </w:r>
            <w:r w:rsidRPr="0047500D">
              <w:rPr>
                <w:sz w:val="24"/>
                <w:szCs w:val="24"/>
              </w:rPr>
              <w:t>pen</w:t>
            </w:r>
          </w:p>
          <w:p w14:paraId="29E471C2" w14:textId="657DCCDF" w:rsidR="0047500D" w:rsidRPr="0047500D" w:rsidRDefault="00ED35EF" w:rsidP="0079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of interest</w:t>
            </w:r>
            <w:r w:rsidR="004D3115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relation to the conference open</w:t>
            </w:r>
          </w:p>
        </w:tc>
      </w:tr>
      <w:tr w:rsidR="0047500D" w14:paraId="33512FDC" w14:textId="77777777" w:rsidTr="0047500D">
        <w:tc>
          <w:tcPr>
            <w:tcW w:w="1980" w:type="dxa"/>
          </w:tcPr>
          <w:p w14:paraId="08965E9C" w14:textId="015A7803" w:rsidR="0047500D" w:rsidRPr="00ED35EF" w:rsidRDefault="00ED35EF" w:rsidP="00ED35EF">
            <w:pPr>
              <w:rPr>
                <w:sz w:val="24"/>
                <w:szCs w:val="24"/>
              </w:rPr>
            </w:pPr>
            <w:r w:rsidRPr="00ED35EF">
              <w:rPr>
                <w:sz w:val="24"/>
                <w:szCs w:val="24"/>
              </w:rPr>
              <w:t>TBC</w:t>
            </w:r>
          </w:p>
        </w:tc>
        <w:tc>
          <w:tcPr>
            <w:tcW w:w="8476" w:type="dxa"/>
          </w:tcPr>
          <w:p w14:paraId="0BB82ADE" w14:textId="77376CE9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 xml:space="preserve">Registration </w:t>
            </w:r>
            <w:r w:rsidR="004D3115">
              <w:rPr>
                <w:sz w:val="24"/>
                <w:szCs w:val="24"/>
              </w:rPr>
              <w:t>o</w:t>
            </w:r>
            <w:r w:rsidRPr="0047500D">
              <w:rPr>
                <w:sz w:val="24"/>
                <w:szCs w:val="24"/>
              </w:rPr>
              <w:t>pens</w:t>
            </w:r>
          </w:p>
        </w:tc>
      </w:tr>
      <w:tr w:rsidR="0047500D" w14:paraId="70B57272" w14:textId="77777777" w:rsidTr="0047500D">
        <w:tc>
          <w:tcPr>
            <w:tcW w:w="1980" w:type="dxa"/>
          </w:tcPr>
          <w:p w14:paraId="4CA5E104" w14:textId="27116040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>30 June</w:t>
            </w:r>
          </w:p>
        </w:tc>
        <w:tc>
          <w:tcPr>
            <w:tcW w:w="8476" w:type="dxa"/>
          </w:tcPr>
          <w:p w14:paraId="12B624FB" w14:textId="51AA3ADF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>Call for papers closes</w:t>
            </w:r>
          </w:p>
        </w:tc>
      </w:tr>
      <w:tr w:rsidR="0047500D" w14:paraId="0286A008" w14:textId="77777777" w:rsidTr="0047500D">
        <w:tc>
          <w:tcPr>
            <w:tcW w:w="1980" w:type="dxa"/>
          </w:tcPr>
          <w:p w14:paraId="7BF46144" w14:textId="4B077B7F" w:rsidR="0047500D" w:rsidRPr="0047500D" w:rsidRDefault="00ED35EF" w:rsidP="0079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July</w:t>
            </w:r>
          </w:p>
        </w:tc>
        <w:tc>
          <w:tcPr>
            <w:tcW w:w="8476" w:type="dxa"/>
          </w:tcPr>
          <w:p w14:paraId="69447698" w14:textId="65040F8B" w:rsidR="0047500D" w:rsidRPr="0047500D" w:rsidRDefault="00ED35EF" w:rsidP="0079483D">
            <w:pPr>
              <w:rPr>
                <w:sz w:val="24"/>
                <w:szCs w:val="24"/>
              </w:rPr>
            </w:pPr>
            <w:r w:rsidRPr="00ED35EF">
              <w:rPr>
                <w:sz w:val="24"/>
                <w:szCs w:val="24"/>
              </w:rPr>
              <w:t>Final call for papers close - placement in the programme subject to availability</w:t>
            </w:r>
          </w:p>
        </w:tc>
      </w:tr>
      <w:tr w:rsidR="0047500D" w14:paraId="0E985F1D" w14:textId="77777777" w:rsidTr="0047500D">
        <w:tc>
          <w:tcPr>
            <w:tcW w:w="1980" w:type="dxa"/>
          </w:tcPr>
          <w:p w14:paraId="01B5FB39" w14:textId="66178152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>1 Octobe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8476" w:type="dxa"/>
          </w:tcPr>
          <w:p w14:paraId="3D73628C" w14:textId="30480962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 xml:space="preserve">All presenters need to have registered </w:t>
            </w:r>
            <w:r w:rsidR="00ED35EF">
              <w:rPr>
                <w:sz w:val="24"/>
                <w:szCs w:val="24"/>
              </w:rPr>
              <w:t>and</w:t>
            </w:r>
            <w:r w:rsidRPr="0047500D">
              <w:rPr>
                <w:sz w:val="24"/>
                <w:szCs w:val="24"/>
              </w:rPr>
              <w:t xml:space="preserve"> paid by 1 October to have their presentation included in the programme</w:t>
            </w:r>
          </w:p>
        </w:tc>
      </w:tr>
      <w:tr w:rsidR="0047500D" w14:paraId="2C491A0E" w14:textId="77777777" w:rsidTr="0047500D">
        <w:tc>
          <w:tcPr>
            <w:tcW w:w="1980" w:type="dxa"/>
          </w:tcPr>
          <w:p w14:paraId="06858799" w14:textId="732C4F7F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>23 November</w:t>
            </w:r>
          </w:p>
        </w:tc>
        <w:tc>
          <w:tcPr>
            <w:tcW w:w="8476" w:type="dxa"/>
          </w:tcPr>
          <w:p w14:paraId="4BAFA491" w14:textId="3FA8088D" w:rsidR="0047500D" w:rsidRPr="0047500D" w:rsidRDefault="0047500D" w:rsidP="0079483D">
            <w:pPr>
              <w:rPr>
                <w:sz w:val="24"/>
                <w:szCs w:val="24"/>
              </w:rPr>
            </w:pPr>
            <w:r w:rsidRPr="0047500D">
              <w:rPr>
                <w:sz w:val="24"/>
                <w:szCs w:val="24"/>
              </w:rPr>
              <w:t>Conference starts</w:t>
            </w:r>
          </w:p>
        </w:tc>
      </w:tr>
    </w:tbl>
    <w:p w14:paraId="00491499" w14:textId="45A65906" w:rsidR="00B51F65" w:rsidRPr="00ED35EF" w:rsidRDefault="00B51F65" w:rsidP="00ED35EF">
      <w:pPr>
        <w:rPr>
          <w:b/>
          <w:bCs/>
          <w:sz w:val="24"/>
          <w:szCs w:val="24"/>
        </w:rPr>
      </w:pPr>
    </w:p>
    <w:p w14:paraId="5B923088" w14:textId="7E580645" w:rsidR="00B51F65" w:rsidRDefault="00B51F65" w:rsidP="00266EF1">
      <w:pPr>
        <w:spacing w:line="240" w:lineRule="auto"/>
        <w:rPr>
          <w:b/>
          <w:bCs/>
          <w:color w:val="538135" w:themeColor="accent6" w:themeShade="BF"/>
          <w:sz w:val="40"/>
          <w:szCs w:val="40"/>
        </w:rPr>
      </w:pPr>
      <w:r w:rsidRPr="00B51F65">
        <w:rPr>
          <w:b/>
          <w:bCs/>
          <w:color w:val="538135" w:themeColor="accent6" w:themeShade="BF"/>
          <w:sz w:val="40"/>
          <w:szCs w:val="40"/>
        </w:rPr>
        <w:t xml:space="preserve">Submission </w:t>
      </w:r>
      <w:r w:rsidR="00B531A2">
        <w:rPr>
          <w:b/>
          <w:bCs/>
          <w:color w:val="538135" w:themeColor="accent6" w:themeShade="BF"/>
          <w:sz w:val="40"/>
          <w:szCs w:val="40"/>
        </w:rPr>
        <w:t>Example</w:t>
      </w:r>
    </w:p>
    <w:p w14:paraId="251C276B" w14:textId="1FD5F7A1" w:rsidR="003C6D10" w:rsidRDefault="003C6D10" w:rsidP="00266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Shifting Horizons and their effects</w:t>
      </w:r>
    </w:p>
    <w:p w14:paraId="6E898D77" w14:textId="3CC94D79" w:rsidR="003C6D10" w:rsidRDefault="00ED35EF" w:rsidP="00266E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Submitter’s Name</w:t>
      </w:r>
      <w:r w:rsidR="003C6D10">
        <w:rPr>
          <w:sz w:val="24"/>
          <w:szCs w:val="24"/>
        </w:rPr>
        <w:t>,</w:t>
      </w:r>
    </w:p>
    <w:p w14:paraId="23289A40" w14:textId="2420FF5A" w:rsidR="003C6D10" w:rsidRDefault="00D36B09" w:rsidP="00266E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Submitter’s University</w:t>
      </w:r>
    </w:p>
    <w:p w14:paraId="2E9AF972" w14:textId="1D52669F" w:rsidR="003C6D10" w:rsidRDefault="000F7805" w:rsidP="00266E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Submitter’s chosen </w:t>
      </w:r>
      <w:r w:rsidR="00ED35EF">
        <w:rPr>
          <w:sz w:val="24"/>
          <w:szCs w:val="24"/>
        </w:rPr>
        <w:t>Special Interest Group</w:t>
      </w:r>
    </w:p>
    <w:p w14:paraId="5C4CFAF7" w14:textId="1044B052" w:rsidR="003C6D10" w:rsidRDefault="003C6D10" w:rsidP="00266EF1">
      <w:pPr>
        <w:spacing w:line="240" w:lineRule="auto"/>
        <w:rPr>
          <w:sz w:val="24"/>
          <w:szCs w:val="24"/>
        </w:rPr>
      </w:pPr>
    </w:p>
    <w:p w14:paraId="362D046B" w14:textId="3D7FCB6B" w:rsidR="003C6D10" w:rsidRPr="004D3115" w:rsidRDefault="003C6D10" w:rsidP="00266EF1">
      <w:pPr>
        <w:spacing w:line="240" w:lineRule="auto"/>
        <w:rPr>
          <w:b/>
          <w:bCs/>
          <w:sz w:val="24"/>
          <w:szCs w:val="24"/>
        </w:rPr>
      </w:pPr>
      <w:r w:rsidRPr="004D3115">
        <w:rPr>
          <w:b/>
          <w:bCs/>
          <w:sz w:val="24"/>
          <w:szCs w:val="24"/>
        </w:rPr>
        <w:t>Biography:</w:t>
      </w:r>
    </w:p>
    <w:p w14:paraId="4B80BFA7" w14:textId="777997C6" w:rsidR="003C6D10" w:rsidRPr="003C6D10" w:rsidRDefault="00ED35EF" w:rsidP="00266EF1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Mary Smith</w:t>
      </w:r>
      <w:r w:rsidR="003C6D10">
        <w:rPr>
          <w:i/>
          <w:iCs/>
          <w:sz w:val="24"/>
          <w:szCs w:val="24"/>
        </w:rPr>
        <w:t xml:space="preserve"> (BA(Hons)) is a Senior Lecturer at the</w:t>
      </w:r>
      <w:r>
        <w:rPr>
          <w:i/>
          <w:iCs/>
          <w:sz w:val="24"/>
          <w:szCs w:val="24"/>
        </w:rPr>
        <w:t xml:space="preserve"> University (U</w:t>
      </w:r>
      <w:r w:rsidR="003C6D10">
        <w:rPr>
          <w:i/>
          <w:iCs/>
          <w:sz w:val="24"/>
          <w:szCs w:val="24"/>
        </w:rPr>
        <w:t>). She teachers Accounting and Marketing. Her areas of research interest include ethical implications of current Accounting standards and effects of macro trends in marketing contexts</w:t>
      </w:r>
      <w:r>
        <w:rPr>
          <w:i/>
          <w:iCs/>
          <w:sz w:val="24"/>
          <w:szCs w:val="24"/>
        </w:rPr>
        <w:t>.</w:t>
      </w:r>
    </w:p>
    <w:p w14:paraId="1A3DB5A7" w14:textId="3338ABCD" w:rsidR="00266EF1" w:rsidRDefault="00266EF1" w:rsidP="00266EF1">
      <w:pPr>
        <w:spacing w:line="240" w:lineRule="auto"/>
        <w:rPr>
          <w:i/>
          <w:iCs/>
          <w:sz w:val="24"/>
          <w:szCs w:val="24"/>
        </w:rPr>
      </w:pPr>
    </w:p>
    <w:p w14:paraId="2023A626" w14:textId="66895F05" w:rsidR="003C6D10" w:rsidRDefault="003C6D10" w:rsidP="00266EF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Abstract:</w:t>
      </w:r>
    </w:p>
    <w:p w14:paraId="3F0F2666" w14:textId="2EF32FAD" w:rsidR="003C6D10" w:rsidRDefault="003C6D10" w:rsidP="00266EF1">
      <w:pPr>
        <w:spacing w:line="240" w:lineRule="auto"/>
        <w:rPr>
          <w:sz w:val="24"/>
          <w:szCs w:val="24"/>
        </w:rPr>
      </w:pPr>
      <w:r w:rsidRPr="003C6D10">
        <w:rPr>
          <w:sz w:val="24"/>
          <w:szCs w:val="24"/>
        </w:rPr>
        <w:t>This research</w:t>
      </w:r>
      <w:r>
        <w:rPr>
          <w:i/>
          <w:iCs/>
          <w:sz w:val="24"/>
          <w:szCs w:val="24"/>
        </w:rPr>
        <w:t>…</w:t>
      </w:r>
    </w:p>
    <w:p w14:paraId="49123143" w14:textId="59F8B67F" w:rsidR="003C6D10" w:rsidRDefault="003C6D10" w:rsidP="00266EF1">
      <w:pPr>
        <w:spacing w:line="240" w:lineRule="auto"/>
        <w:rPr>
          <w:sz w:val="24"/>
          <w:szCs w:val="24"/>
        </w:rPr>
      </w:pPr>
    </w:p>
    <w:p w14:paraId="357E1A34" w14:textId="21168DD6" w:rsidR="003C6D10" w:rsidRDefault="003C6D10" w:rsidP="00266EF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References:</w:t>
      </w:r>
    </w:p>
    <w:p w14:paraId="794C0EA0" w14:textId="61A59337" w:rsidR="003C6D10" w:rsidRPr="003C6D10" w:rsidRDefault="00ED35EF" w:rsidP="00266E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Smith, M</w:t>
      </w:r>
      <w:r w:rsidR="003C6D10">
        <w:rPr>
          <w:sz w:val="24"/>
          <w:szCs w:val="24"/>
        </w:rPr>
        <w:t xml:space="preserve">. (2020). A theory of accounting. </w:t>
      </w:r>
      <w:r w:rsidR="003C6D10">
        <w:rPr>
          <w:i/>
          <w:iCs/>
          <w:sz w:val="24"/>
          <w:szCs w:val="24"/>
        </w:rPr>
        <w:t>Accounting, 3</w:t>
      </w:r>
      <w:r w:rsidR="003C6D10">
        <w:rPr>
          <w:sz w:val="24"/>
          <w:szCs w:val="24"/>
        </w:rPr>
        <w:t>(1), 41-44.</w:t>
      </w:r>
    </w:p>
    <w:p w14:paraId="33DEA7AD" w14:textId="77777777" w:rsidR="00C00B48" w:rsidRPr="00C00B48" w:rsidRDefault="00C00B48" w:rsidP="00C00B48">
      <w:pPr>
        <w:spacing w:line="240" w:lineRule="auto"/>
        <w:rPr>
          <w:sz w:val="24"/>
          <w:szCs w:val="24"/>
        </w:rPr>
      </w:pPr>
    </w:p>
    <w:p w14:paraId="463B4EAD" w14:textId="77777777" w:rsidR="00B94BA8" w:rsidRPr="00B94BA8" w:rsidRDefault="00B94BA8" w:rsidP="00B94BA8">
      <w:pPr>
        <w:spacing w:line="240" w:lineRule="auto"/>
        <w:rPr>
          <w:sz w:val="24"/>
          <w:szCs w:val="24"/>
        </w:rPr>
      </w:pPr>
    </w:p>
    <w:p w14:paraId="3BC0A064" w14:textId="67D5E9A7" w:rsidR="001420B1" w:rsidRDefault="001420B1" w:rsidP="001420B1">
      <w:pPr>
        <w:rPr>
          <w:sz w:val="24"/>
          <w:szCs w:val="24"/>
        </w:rPr>
      </w:pPr>
    </w:p>
    <w:p w14:paraId="147196E5" w14:textId="77777777" w:rsidR="001420B1" w:rsidRPr="001420B1" w:rsidRDefault="001420B1" w:rsidP="001420B1">
      <w:pPr>
        <w:rPr>
          <w:sz w:val="24"/>
          <w:szCs w:val="24"/>
        </w:rPr>
      </w:pPr>
    </w:p>
    <w:sectPr w:rsidR="001420B1" w:rsidRPr="001420B1" w:rsidSect="001420B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B118" w14:textId="77777777" w:rsidR="007F5858" w:rsidRDefault="007F5858" w:rsidP="00266EF1">
      <w:pPr>
        <w:spacing w:after="0" w:line="240" w:lineRule="auto"/>
      </w:pPr>
      <w:r>
        <w:separator/>
      </w:r>
    </w:p>
  </w:endnote>
  <w:endnote w:type="continuationSeparator" w:id="0">
    <w:p w14:paraId="5198BE80" w14:textId="77777777" w:rsidR="007F5858" w:rsidRDefault="007F5858" w:rsidP="0026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027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82418" w14:textId="1C349393" w:rsidR="00266EF1" w:rsidRDefault="00266EF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8E343" w14:textId="77777777" w:rsidR="00266EF1" w:rsidRDefault="00266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0C50" w14:textId="77777777" w:rsidR="007F5858" w:rsidRDefault="007F5858" w:rsidP="00266EF1">
      <w:pPr>
        <w:spacing w:after="0" w:line="240" w:lineRule="auto"/>
      </w:pPr>
      <w:r>
        <w:separator/>
      </w:r>
    </w:p>
  </w:footnote>
  <w:footnote w:type="continuationSeparator" w:id="0">
    <w:p w14:paraId="57F68C37" w14:textId="77777777" w:rsidR="007F5858" w:rsidRDefault="007F5858" w:rsidP="0026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DA0"/>
    <w:multiLevelType w:val="hybridMultilevel"/>
    <w:tmpl w:val="565A4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295809"/>
    <w:multiLevelType w:val="hybridMultilevel"/>
    <w:tmpl w:val="9C9C98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7139C"/>
    <w:multiLevelType w:val="hybridMultilevel"/>
    <w:tmpl w:val="167CD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95781"/>
    <w:multiLevelType w:val="hybridMultilevel"/>
    <w:tmpl w:val="8690D8F0"/>
    <w:lvl w:ilvl="0" w:tplc="6C0EBC5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AE2BD1"/>
    <w:multiLevelType w:val="hybridMultilevel"/>
    <w:tmpl w:val="8862A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9D6C55"/>
    <w:multiLevelType w:val="hybridMultilevel"/>
    <w:tmpl w:val="99E68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FE0D4F"/>
    <w:multiLevelType w:val="hybridMultilevel"/>
    <w:tmpl w:val="8EB662C0"/>
    <w:lvl w:ilvl="0" w:tplc="328C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B1"/>
    <w:rsid w:val="000F7805"/>
    <w:rsid w:val="00116FD6"/>
    <w:rsid w:val="001420B1"/>
    <w:rsid w:val="001656DA"/>
    <w:rsid w:val="001B4413"/>
    <w:rsid w:val="001E183C"/>
    <w:rsid w:val="00235C42"/>
    <w:rsid w:val="00266EF1"/>
    <w:rsid w:val="00352F46"/>
    <w:rsid w:val="003C6D10"/>
    <w:rsid w:val="004162B5"/>
    <w:rsid w:val="004446C7"/>
    <w:rsid w:val="0045349A"/>
    <w:rsid w:val="0047500D"/>
    <w:rsid w:val="004D3115"/>
    <w:rsid w:val="005332F4"/>
    <w:rsid w:val="0062109B"/>
    <w:rsid w:val="00694D94"/>
    <w:rsid w:val="007764EC"/>
    <w:rsid w:val="0079483D"/>
    <w:rsid w:val="007A5851"/>
    <w:rsid w:val="007E5A4C"/>
    <w:rsid w:val="007F5858"/>
    <w:rsid w:val="008450D0"/>
    <w:rsid w:val="00927A26"/>
    <w:rsid w:val="00945982"/>
    <w:rsid w:val="009F62AE"/>
    <w:rsid w:val="00AF2CE3"/>
    <w:rsid w:val="00B43AC8"/>
    <w:rsid w:val="00B51F65"/>
    <w:rsid w:val="00B531A2"/>
    <w:rsid w:val="00B8410D"/>
    <w:rsid w:val="00B94BA8"/>
    <w:rsid w:val="00C00B48"/>
    <w:rsid w:val="00D36B09"/>
    <w:rsid w:val="00DA4110"/>
    <w:rsid w:val="00DB7338"/>
    <w:rsid w:val="00E90AED"/>
    <w:rsid w:val="00ED35EF"/>
    <w:rsid w:val="00EF16DB"/>
    <w:rsid w:val="00F44965"/>
    <w:rsid w:val="00F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D02D"/>
  <w15:chartTrackingRefBased/>
  <w15:docId w15:val="{751075E4-7D6F-47C2-B43F-176FC148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F1"/>
  </w:style>
  <w:style w:type="paragraph" w:styleId="Footer">
    <w:name w:val="footer"/>
    <w:basedOn w:val="Normal"/>
    <w:link w:val="FooterChar"/>
    <w:uiPriority w:val="99"/>
    <w:unhideWhenUsed/>
    <w:rsid w:val="00266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F1"/>
  </w:style>
  <w:style w:type="table" w:styleId="TableGrid">
    <w:name w:val="Table Grid"/>
    <w:basedOn w:val="TableNormal"/>
    <w:uiPriority w:val="39"/>
    <w:rsid w:val="0047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6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zare.org.nz/events/conference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351E-61F6-4387-A6DE-EB417B68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Craib</dc:creator>
  <cp:keywords/>
  <dc:description/>
  <cp:lastModifiedBy>Henry Craib</cp:lastModifiedBy>
  <cp:revision>19</cp:revision>
  <dcterms:created xsi:type="dcterms:W3CDTF">2020-03-14T23:50:00Z</dcterms:created>
  <dcterms:modified xsi:type="dcterms:W3CDTF">2020-03-16T03:06:00Z</dcterms:modified>
</cp:coreProperties>
</file>